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17211F"/>
          <w:sz w:val="36"/>
        </w:rPr>
        <w:t>Free Case Brief Template</w:t>
      </w:r>
    </w:p>
    <w:p>
      <w:pPr>
        <w:jc w:val="center"/>
      </w:pPr>
      <w:r>
        <w:rPr>
          <w:rFonts w:ascii="Arial" w:hAnsi="Arial"/>
          <w:color w:val="5D6864"/>
          <w:sz w:val="18"/>
        </w:rPr>
        <w:t>A one-page law school reading-note form from CaseBriefKit</w:t>
      </w:r>
    </w:p>
    <w:p>
      <w:pPr>
        <w:jc w:val="center"/>
      </w:pPr>
      <w:r>
        <w:rPr>
          <w:rFonts w:ascii="Arial" w:hAnsi="Arial"/>
          <w:color w:val="5D6864"/>
          <w:sz w:val="16"/>
        </w:rPr>
        <w:t>Educational study aid only. Not legal advice.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20"/>
        <w:gridCol w:w="7200"/>
      </w:tblGrid>
      <w:tr>
        <w:tc>
          <w:tcPr>
            <w:tcW w:type="dxa" w:w="2520"/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  <w:shd w:fill="EEF5F8"/>
          </w:tcPr>
          <w:p>
            <w:r>
              <w:rPr>
                <w:rFonts w:ascii="Arial" w:hAnsi="Arial"/>
                <w:b/>
                <w:color w:val="17211F"/>
                <w:sz w:val="17"/>
              </w:rPr>
              <w:t>Case Name and Citation</w:t>
            </w:r>
          </w:p>
        </w:tc>
        <w:tc>
          <w:tcPr>
            <w:tcW w:type="dxa" w:w="7200"/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rFonts w:ascii="Arial" w:hAnsi="Arial"/>
                <w:color w:val="5D6864"/>
                <w:sz w:val="17"/>
              </w:rPr>
              <w:t>Example: Marbury v. Madison, 5 U.S. 137</w:t>
            </w:r>
          </w:p>
        </w:tc>
      </w:tr>
      <w:tr>
        <w:tc>
          <w:tcPr>
            <w:tcW w:type="dxa" w:w="2520"/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  <w:shd w:fill="EEF5F8"/>
          </w:tcPr>
          <w:p>
            <w:r>
              <w:rPr>
                <w:rFonts w:ascii="Arial" w:hAnsi="Arial"/>
                <w:b/>
                <w:color w:val="17211F"/>
                <w:sz w:val="17"/>
              </w:rPr>
              <w:t>Court and Date</w:t>
            </w:r>
          </w:p>
        </w:tc>
        <w:tc>
          <w:tcPr>
            <w:tcW w:type="dxa" w:w="7200"/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rFonts w:ascii="Arial" w:hAnsi="Arial"/>
                <w:color w:val="5D6864"/>
                <w:sz w:val="17"/>
              </w:rPr>
              <w:t xml:space="preserve"> </w:t>
            </w:r>
          </w:p>
        </w:tc>
      </w:tr>
      <w:tr>
        <w:tc>
          <w:tcPr>
            <w:tcW w:type="dxa" w:w="2520"/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  <w:shd w:fill="EEF5F8"/>
          </w:tcPr>
          <w:p>
            <w:r>
              <w:rPr>
                <w:rFonts w:ascii="Arial" w:hAnsi="Arial"/>
                <w:b/>
                <w:color w:val="17211F"/>
                <w:sz w:val="17"/>
              </w:rPr>
              <w:t>Procedural Posture</w:t>
            </w:r>
          </w:p>
        </w:tc>
        <w:tc>
          <w:tcPr>
            <w:tcW w:type="dxa" w:w="7200"/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rFonts w:ascii="Arial" w:hAnsi="Arial"/>
                <w:color w:val="5D6864"/>
                <w:sz w:val="17"/>
              </w:rPr>
              <w:t xml:space="preserve"> </w:t>
            </w:r>
          </w:p>
        </w:tc>
      </w:tr>
      <w:tr>
        <w:tc>
          <w:tcPr>
            <w:tcW w:type="dxa" w:w="2520"/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  <w:shd w:fill="EEF5F8"/>
          </w:tcPr>
          <w:p>
            <w:r>
              <w:rPr>
                <w:rFonts w:ascii="Arial" w:hAnsi="Arial"/>
                <w:b/>
                <w:color w:val="17211F"/>
                <w:sz w:val="17"/>
              </w:rPr>
              <w:t>Key Facts</w:t>
            </w:r>
          </w:p>
        </w:tc>
        <w:tc>
          <w:tcPr>
            <w:tcW w:type="dxa" w:w="7200"/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rFonts w:ascii="Arial" w:hAnsi="Arial"/>
                <w:color w:val="5D6864"/>
                <w:sz w:val="17"/>
              </w:rP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</w:tc>
      </w:tr>
      <w:tr>
        <w:tc>
          <w:tcPr>
            <w:tcW w:type="dxa" w:w="2520"/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  <w:shd w:fill="EEF5F8"/>
          </w:tcPr>
          <w:p>
            <w:r>
              <w:rPr>
                <w:rFonts w:ascii="Arial" w:hAnsi="Arial"/>
                <w:b/>
                <w:color w:val="17211F"/>
                <w:sz w:val="17"/>
              </w:rPr>
              <w:t>Issue</w:t>
            </w:r>
          </w:p>
        </w:tc>
        <w:tc>
          <w:tcPr>
            <w:tcW w:type="dxa" w:w="7200"/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rFonts w:ascii="Arial" w:hAnsi="Arial"/>
                <w:color w:val="5D6864"/>
                <w:sz w:val="17"/>
              </w:rPr>
              <w:t xml:space="preserve"> </w:t>
            </w:r>
          </w:p>
        </w:tc>
      </w:tr>
      <w:tr>
        <w:tc>
          <w:tcPr>
            <w:tcW w:type="dxa" w:w="2520"/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  <w:shd w:fill="EEF5F8"/>
          </w:tcPr>
          <w:p>
            <w:r>
              <w:rPr>
                <w:rFonts w:ascii="Arial" w:hAnsi="Arial"/>
                <w:b/>
                <w:color w:val="17211F"/>
                <w:sz w:val="17"/>
              </w:rPr>
              <w:t>Rule</w:t>
            </w:r>
          </w:p>
        </w:tc>
        <w:tc>
          <w:tcPr>
            <w:tcW w:type="dxa" w:w="7200"/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rFonts w:ascii="Arial" w:hAnsi="Arial"/>
                <w:color w:val="5D6864"/>
                <w:sz w:val="17"/>
              </w:rPr>
              <w:t xml:space="preserve"> </w:t>
            </w:r>
          </w:p>
        </w:tc>
      </w:tr>
      <w:tr>
        <w:tc>
          <w:tcPr>
            <w:tcW w:type="dxa" w:w="2520"/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  <w:shd w:fill="EEF5F8"/>
          </w:tcPr>
          <w:p>
            <w:r>
              <w:rPr>
                <w:rFonts w:ascii="Arial" w:hAnsi="Arial"/>
                <w:b/>
                <w:color w:val="17211F"/>
                <w:sz w:val="17"/>
              </w:rPr>
              <w:t>Analysis</w:t>
            </w:r>
          </w:p>
        </w:tc>
        <w:tc>
          <w:tcPr>
            <w:tcW w:type="dxa" w:w="7200"/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rFonts w:ascii="Arial" w:hAnsi="Arial"/>
                <w:color w:val="5D6864"/>
                <w:sz w:val="17"/>
              </w:rP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</w:tc>
      </w:tr>
      <w:tr>
        <w:tc>
          <w:tcPr>
            <w:tcW w:type="dxa" w:w="2520"/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  <w:shd w:fill="EEF5F8"/>
          </w:tcPr>
          <w:p>
            <w:r>
              <w:rPr>
                <w:rFonts w:ascii="Arial" w:hAnsi="Arial"/>
                <w:b/>
                <w:color w:val="17211F"/>
                <w:sz w:val="17"/>
              </w:rPr>
              <w:t>Holding</w:t>
            </w:r>
          </w:p>
        </w:tc>
        <w:tc>
          <w:tcPr>
            <w:tcW w:type="dxa" w:w="7200"/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rFonts w:ascii="Arial" w:hAnsi="Arial"/>
                <w:color w:val="5D6864"/>
                <w:sz w:val="17"/>
              </w:rPr>
              <w:t xml:space="preserve"> </w:t>
            </w:r>
          </w:p>
        </w:tc>
      </w:tr>
      <w:tr>
        <w:tc>
          <w:tcPr>
            <w:tcW w:type="dxa" w:w="2520"/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  <w:shd w:fill="EEF5F8"/>
          </w:tcPr>
          <w:p>
            <w:r>
              <w:rPr>
                <w:rFonts w:ascii="Arial" w:hAnsi="Arial"/>
                <w:b/>
                <w:color w:val="17211F"/>
                <w:sz w:val="17"/>
              </w:rPr>
              <w:t>Reasoning</w:t>
            </w:r>
          </w:p>
        </w:tc>
        <w:tc>
          <w:tcPr>
            <w:tcW w:type="dxa" w:w="7200"/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rFonts w:ascii="Arial" w:hAnsi="Arial"/>
                <w:color w:val="5D6864"/>
                <w:sz w:val="17"/>
              </w:rP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</w:tc>
      </w:tr>
      <w:tr>
        <w:tc>
          <w:tcPr>
            <w:tcW w:type="dxa" w:w="2520"/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  <w:shd w:fill="EEF5F8"/>
          </w:tcPr>
          <w:p>
            <w:r>
              <w:rPr>
                <w:rFonts w:ascii="Arial" w:hAnsi="Arial"/>
                <w:b/>
                <w:color w:val="17211F"/>
                <w:sz w:val="17"/>
              </w:rPr>
              <w:t>Class Notes</w:t>
            </w:r>
          </w:p>
        </w:tc>
        <w:tc>
          <w:tcPr>
            <w:tcW w:type="dxa" w:w="7200"/>
            <w:vAlign w:val="top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rFonts w:ascii="Arial" w:hAnsi="Arial"/>
                <w:color w:val="5D6864"/>
                <w:sz w:val="17"/>
              </w:rP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</w:tc>
      </w:tr>
    </w:tbl>
    <w:p>
      <w:pPr>
        <w:jc w:val="center"/>
      </w:pPr>
      <w:r>
        <w:rPr>
          <w:rFonts w:ascii="Arial" w:hAnsi="Arial"/>
          <w:color w:val="5D6864"/>
          <w:sz w:val="16"/>
        </w:rPr>
        <w:t>casebriefkit-maker</w:t>
      </w:r>
    </w:p>
    <w:sectPr w:rsidR="00FC693F" w:rsidRPr="0006063C" w:rsidSect="00034616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52" w:lineRule="auto"/>
    </w:pPr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80" w:after="120"/>
      <w:outlineLvl w:val="0"/>
    </w:pPr>
    <w:rPr>
      <w:rFonts w:asciiTheme="majorHAnsi" w:eastAsiaTheme="majorEastAsia" w:hAnsiTheme="majorHAnsi" w:cstheme="majorBidi" w:ascii="Arial" w:hAnsi="Arial"/>
      <w:b/>
      <w:bCs/>
      <w:color w:val="17211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80" w:after="120"/>
      <w:outlineLvl w:val="1"/>
    </w:pPr>
    <w:rPr>
      <w:rFonts w:asciiTheme="majorHAnsi" w:eastAsiaTheme="majorEastAsia" w:hAnsiTheme="majorHAnsi" w:cstheme="majorBidi" w:ascii="Arial" w:hAnsi="Arial"/>
      <w:b/>
      <w:bCs/>
      <w:color w:val="1F6F5B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